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Pr="008768C4" w:rsidRDefault="00D86C37" w:rsidP="00E6053C">
      <w:pPr>
        <w:pStyle w:val="Nagwek7"/>
      </w:pPr>
    </w:p>
    <w:p w14:paraId="53A82213" w14:textId="29B89DE1" w:rsidR="006011D2" w:rsidRPr="008768C4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8768C4">
        <w:rPr>
          <w:rFonts w:ascii="Trebuchet MS" w:hAnsi="Trebuchet MS"/>
          <w:b/>
        </w:rPr>
        <w:t xml:space="preserve">Załącznik </w:t>
      </w:r>
      <w:r w:rsidR="006640EC" w:rsidRPr="008768C4">
        <w:rPr>
          <w:rFonts w:ascii="Trebuchet MS" w:hAnsi="Trebuchet MS"/>
          <w:b/>
        </w:rPr>
        <w:t xml:space="preserve">nr </w:t>
      </w:r>
      <w:r w:rsidR="001B6ACA" w:rsidRPr="008768C4">
        <w:rPr>
          <w:rFonts w:ascii="Trebuchet MS" w:hAnsi="Trebuchet MS"/>
          <w:b/>
          <w:color w:val="000000"/>
        </w:rPr>
        <w:t>1</w:t>
      </w:r>
      <w:r w:rsidR="00E536F8" w:rsidRPr="008768C4">
        <w:rPr>
          <w:rFonts w:ascii="Trebuchet MS" w:hAnsi="Trebuchet MS"/>
          <w:b/>
          <w:color w:val="000000"/>
        </w:rPr>
        <w:t>b</w:t>
      </w:r>
    </w:p>
    <w:p w14:paraId="429B8B6D" w14:textId="77777777" w:rsidR="001B6ACA" w:rsidRPr="008768C4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Pr="008768C4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8768C4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8768C4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8768C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8768C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768C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 w:rsidRPr="008768C4">
        <w:rPr>
          <w:rFonts w:asciiTheme="minorHAnsi" w:hAnsiTheme="minorHAnsi" w:cstheme="minorHAnsi"/>
          <w:sz w:val="22"/>
          <w:szCs w:val="22"/>
        </w:rPr>
        <w:t>.............</w:t>
      </w:r>
      <w:r w:rsidRPr="008768C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8768C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8768C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8768C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8768C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8768C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8768C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8768C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8768C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8768C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8768C4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8768C4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7F8582A4" w:rsidR="001B6ACA" w:rsidRPr="008768C4" w:rsidRDefault="00B077E7" w:rsidP="00A36EB1">
      <w:pPr>
        <w:pStyle w:val="Bezodstpw"/>
        <w:spacing w:before="120" w:after="120"/>
        <w:jc w:val="both"/>
        <w:rPr>
          <w:rFonts w:asciiTheme="minorHAnsi" w:hAnsiTheme="minorHAnsi" w:cstheme="minorHAnsi"/>
          <w:spacing w:val="0"/>
        </w:rPr>
      </w:pPr>
      <w:r w:rsidRPr="008768C4">
        <w:rPr>
          <w:rFonts w:asciiTheme="minorHAnsi" w:hAnsiTheme="minorHAnsi" w:cstheme="minorHAnsi"/>
          <w:spacing w:val="0"/>
        </w:rPr>
        <w:t xml:space="preserve">w odpowiedzi na </w:t>
      </w:r>
      <w:r w:rsidR="00794953" w:rsidRPr="008768C4">
        <w:rPr>
          <w:rFonts w:asciiTheme="minorHAnsi" w:hAnsiTheme="minorHAnsi" w:cstheme="minorHAnsi"/>
          <w:spacing w:val="0"/>
        </w:rPr>
        <w:t>postępowanie</w:t>
      </w:r>
      <w:r w:rsidRPr="008768C4">
        <w:rPr>
          <w:rFonts w:asciiTheme="minorHAnsi" w:hAnsiTheme="minorHAnsi" w:cstheme="minorHAnsi"/>
          <w:spacing w:val="0"/>
        </w:rPr>
        <w:t xml:space="preserve"> o udzieleni</w:t>
      </w:r>
      <w:r w:rsidR="00794953" w:rsidRPr="008768C4">
        <w:rPr>
          <w:rFonts w:asciiTheme="minorHAnsi" w:hAnsiTheme="minorHAnsi" w:cstheme="minorHAnsi"/>
          <w:spacing w:val="0"/>
        </w:rPr>
        <w:t>e</w:t>
      </w:r>
      <w:r w:rsidRPr="008768C4">
        <w:rPr>
          <w:rFonts w:asciiTheme="minorHAnsi" w:hAnsiTheme="minorHAnsi" w:cstheme="minorHAnsi"/>
          <w:spacing w:val="0"/>
        </w:rPr>
        <w:t xml:space="preserve"> zamówienia </w:t>
      </w:r>
      <w:r w:rsidR="001B6ACA" w:rsidRPr="008768C4">
        <w:rPr>
          <w:rFonts w:asciiTheme="minorHAnsi" w:hAnsiTheme="minorHAnsi" w:cstheme="minorHAnsi"/>
          <w:spacing w:val="0"/>
        </w:rPr>
        <w:t>w trybie zamówienia klasycznego</w:t>
      </w:r>
      <w:r w:rsidR="00E940AF" w:rsidRPr="008768C4">
        <w:rPr>
          <w:rFonts w:asciiTheme="minorHAnsi" w:hAnsiTheme="minorHAnsi" w:cstheme="minorHAnsi"/>
          <w:spacing w:val="0"/>
        </w:rPr>
        <w:t xml:space="preserve"> </w:t>
      </w:r>
      <w:r w:rsidR="001B6ACA" w:rsidRPr="008768C4">
        <w:rPr>
          <w:rFonts w:asciiTheme="minorHAnsi" w:hAnsiTheme="minorHAnsi" w:cstheme="minorHAnsi"/>
          <w:spacing w:val="0"/>
        </w:rPr>
        <w:t>– tryb podstawowy bez negocjacji na zadanie o nazwie</w:t>
      </w:r>
      <w:r w:rsidR="0011782B" w:rsidRPr="008768C4">
        <w:rPr>
          <w:rFonts w:asciiTheme="minorHAnsi" w:hAnsiTheme="minorHAnsi" w:cstheme="minorHAnsi"/>
          <w:spacing w:val="0"/>
        </w:rPr>
        <w:t xml:space="preserve">: „Zakup i dostawa sprzętu komputerowego dla </w:t>
      </w:r>
      <w:r w:rsidR="0011782B" w:rsidRPr="008768C4">
        <w:rPr>
          <w:rFonts w:asciiTheme="minorHAnsi" w:eastAsia="SimSun" w:hAnsiTheme="minorHAnsi" w:cstheme="minorHAnsi"/>
          <w:spacing w:val="0"/>
          <w:kern w:val="3"/>
        </w:rPr>
        <w:t>szkół i placówek oświatowych w Dzielnicy Wola m.st. Warszawy oraz dla Dzielnicowego Biura Finansów Oświaty Woal ms.t. Warszawy</w:t>
      </w:r>
      <w:r w:rsidR="0011782B" w:rsidRPr="008768C4">
        <w:rPr>
          <w:rFonts w:asciiTheme="minorHAnsi" w:hAnsiTheme="minorHAnsi" w:cstheme="minorHAnsi"/>
          <w:spacing w:val="0"/>
        </w:rPr>
        <w:t>”</w:t>
      </w:r>
      <w:r w:rsidR="00732568" w:rsidRPr="008768C4">
        <w:rPr>
          <w:rFonts w:asciiTheme="minorHAnsi" w:hAnsiTheme="minorHAnsi" w:cstheme="minorHAnsi"/>
          <w:spacing w:val="0"/>
        </w:rPr>
        <w:t xml:space="preserve"> w zakresie:</w:t>
      </w:r>
    </w:p>
    <w:p w14:paraId="3E82C35A" w14:textId="77777777" w:rsidR="00AA2B4F" w:rsidRPr="008768C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27E954D4" w14:textId="2B920EC4" w:rsidR="00F01738" w:rsidRDefault="002712D7" w:rsidP="00F01738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</w:t>
      </w:r>
      <w:r w:rsidR="00BC08B8"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93373"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sprzedaż komputerów stacjonarnych</w:t>
      </w:r>
      <w:r w:rsidR="007C374A"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dla szkół i placówek oświatow</w:t>
      </w:r>
      <w:r w:rsidR="00CE4784" w:rsidRPr="008768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ych zgodnie z załącznikiem </w:t>
      </w:r>
      <w:r w:rsidR="00F0173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nr </w:t>
      </w:r>
      <w:r w:rsidR="00CA422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 do SWZ</w:t>
      </w:r>
      <w:bookmarkStart w:id="1" w:name="_GoBack"/>
      <w:bookmarkEnd w:id="1"/>
      <w:r w:rsidR="00F0173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0CDE30DC" w14:textId="635DFE15" w:rsidR="00B077E7" w:rsidRPr="008768C4" w:rsidRDefault="00B077E7" w:rsidP="00F01738">
      <w:p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8768C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8768C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Pr="008768C4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8768C4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00B1227" w:rsidR="00732568" w:rsidRPr="008768C4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 w:rsidRPr="008768C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8768C4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8768C4">
        <w:rPr>
          <w:rFonts w:asciiTheme="minorHAnsi" w:hAnsiTheme="minorHAnsi" w:cstheme="minorHAnsi"/>
          <w:b/>
          <w:sz w:val="22"/>
          <w:szCs w:val="22"/>
        </w:rPr>
        <w:t>…….</w:t>
      </w:r>
      <w:r w:rsidRPr="008768C4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8768C4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słownie: ………..</w:t>
      </w:r>
      <w:r w:rsidR="00586064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bookmarkStart w:id="2" w:name="_Hlk92484861"/>
      <w:r w:rsidR="00DA3A53" w:rsidRPr="008768C4">
        <w:rPr>
          <w:rFonts w:asciiTheme="minorHAnsi" w:hAnsiTheme="minorHAnsi" w:cstheme="minorHAnsi"/>
          <w:sz w:val="22"/>
          <w:szCs w:val="22"/>
        </w:rPr>
        <w:t>0</w:t>
      </w:r>
      <w:r w:rsidRPr="008768C4">
        <w:rPr>
          <w:rFonts w:asciiTheme="minorHAnsi" w:hAnsiTheme="minorHAnsi" w:cstheme="minorHAnsi"/>
          <w:sz w:val="22"/>
          <w:szCs w:val="22"/>
        </w:rPr>
        <w:t xml:space="preserve"> %</w:t>
      </w:r>
      <w:bookmarkEnd w:id="2"/>
      <w:r w:rsidR="00E6053C" w:rsidRPr="008768C4">
        <w:rPr>
          <w:rFonts w:asciiTheme="minorHAnsi" w:hAnsiTheme="minorHAnsi" w:cstheme="minorHAnsi"/>
          <w:sz w:val="22"/>
          <w:szCs w:val="22"/>
        </w:rPr>
        <w:t xml:space="preserve"> VAT.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586064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 w:rsidRPr="008768C4">
        <w:rPr>
          <w:rFonts w:asciiTheme="minorHAnsi" w:hAnsiTheme="minorHAnsi" w:cstheme="minorHAnsi"/>
          <w:sz w:val="22"/>
          <w:szCs w:val="22"/>
        </w:rPr>
        <w:t>)</w:t>
      </w:r>
      <w:r w:rsidR="00E6053C" w:rsidRPr="008768C4">
        <w:rPr>
          <w:rFonts w:asciiTheme="minorHAnsi" w:hAnsiTheme="minorHAnsi" w:cstheme="minorHAnsi"/>
          <w:sz w:val="22"/>
          <w:szCs w:val="22"/>
        </w:rPr>
        <w:t>. Netto=brutto</w:t>
      </w:r>
    </w:p>
    <w:p w14:paraId="3F3E6853" w14:textId="3B37A486" w:rsidR="00586064" w:rsidRPr="008768C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8768C4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768C4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8768C4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  <w:gridCol w:w="1669"/>
      </w:tblGrid>
      <w:tr w:rsidR="00C81EC6" w:rsidRPr="008768C4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77E12523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135A9C84" w:rsidR="00C81EC6" w:rsidRPr="008768C4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="00670209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57DAD5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8768C4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8768C4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ECADE1E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FB0040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</w:t>
            </w: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7C374A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Komputerowy stacjonarne</w:t>
            </w:r>
          </w:p>
          <w:p w14:paraId="49D91C19" w14:textId="4AEA5F35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8768C4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49C9" w14:textId="0B34656C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9793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lang w:eastAsia="en-US"/>
              </w:rPr>
              <w:t xml:space="preserve">Komputer stacjonarny </w:t>
            </w:r>
          </w:p>
          <w:p w14:paraId="43B75B51" w14:textId="231A88A1" w:rsidR="00DA3A53" w:rsidRPr="008768C4" w:rsidRDefault="00DA3A53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0%VAT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A017268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8768C4" w:rsidRDefault="002712D7" w:rsidP="002712D7">
            <w:pPr>
              <w:spacing w:after="160" w:line="259" w:lineRule="auto"/>
            </w:pPr>
          </w:p>
        </w:tc>
      </w:tr>
      <w:tr w:rsidR="002712D7" w:rsidRPr="008768C4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8768C4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768C4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8768C4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8768C4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8768C4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8768C4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768C4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8768C4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8768C4" w:rsidRDefault="00CA422C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 w:rsidRPr="008768C4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8768C4" w:rsidRDefault="00CA422C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8768C4" w:rsidRDefault="00CA422C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 w:rsidRPr="008768C4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Pr="008768C4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586C5C89" w:rsidR="00A34F99" w:rsidRPr="008768C4" w:rsidRDefault="00CA422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7FA88D67" w:rsidR="00A34F99" w:rsidRPr="008768C4" w:rsidRDefault="00CA422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AC1B4C1" w:rsidR="00A34F99" w:rsidRPr="008768C4" w:rsidRDefault="00CA422C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180792A2" w:rsidR="00A34F99" w:rsidRPr="008768C4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2712D7" w:rsidRPr="008768C4">
        <w:rPr>
          <w:rFonts w:asciiTheme="minorHAnsi" w:hAnsiTheme="minorHAnsi" w:cstheme="minorHAnsi"/>
          <w:bCs/>
          <w:sz w:val="22"/>
          <w:szCs w:val="22"/>
        </w:rPr>
        <w:t>3</w:t>
      </w:r>
      <w:r w:rsidR="008768C4">
        <w:rPr>
          <w:rFonts w:asciiTheme="minorHAnsi" w:hAnsiTheme="minorHAnsi" w:cstheme="minorHAnsi"/>
          <w:bCs/>
          <w:sz w:val="22"/>
          <w:szCs w:val="22"/>
        </w:rPr>
        <w:t>0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 w:rsidRPr="008768C4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8768C4">
        <w:rPr>
          <w:rFonts w:asciiTheme="minorHAnsi" w:hAnsiTheme="minorHAnsi" w:cstheme="minorHAnsi"/>
          <w:bCs/>
          <w:sz w:val="22"/>
          <w:szCs w:val="22"/>
        </w:rPr>
        <w:t>.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8768C4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Pr="008768C4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8768C4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8768C4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09F533A8" w:rsidR="00FF4B18" w:rsidRPr="008768C4" w:rsidRDefault="00FF4B18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6424C88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Pr="008768C4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8768C4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2B4F034" w:rsidR="00E736A2" w:rsidRPr="008768C4" w:rsidRDefault="00E736A2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8768C4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 w:rsidRPr="008768C4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8768C4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8768C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8768C4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8768C4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8768C4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8768C4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8768C4" w:rsidRDefault="00E736A2" w:rsidP="00E736A2">
      <w:pPr>
        <w:suppressAutoHyphens/>
        <w:ind w:left="360"/>
        <w:jc w:val="both"/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8768C4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8768C4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8768C4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8768C4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8768C4" w:rsidRDefault="00CA422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</w:rPr>
        <w:t>*</w:t>
      </w:r>
      <w:r w:rsidRPr="008768C4">
        <w:rPr>
          <w:rFonts w:ascii="Calibri" w:hAnsi="Calibri"/>
          <w:b/>
          <w:i/>
        </w:rPr>
        <w:t>Mikroprzedsiębiorstwo:</w:t>
      </w:r>
      <w:r w:rsidRPr="008768C4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*Małe przedsiębiorstwo:</w:t>
      </w:r>
      <w:r w:rsidRPr="008768C4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*Średnie przedsiębiorstwo:</w:t>
      </w:r>
      <w:r w:rsidRPr="008768C4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8768C4" w:rsidRDefault="00210F68" w:rsidP="00210F68">
      <w:pPr>
        <w:ind w:left="360"/>
        <w:jc w:val="both"/>
        <w:rPr>
          <w:rFonts w:ascii="Calibri" w:hAnsi="Calibri"/>
        </w:rPr>
      </w:pPr>
      <w:r w:rsidRPr="008768C4">
        <w:rPr>
          <w:rFonts w:ascii="Calibri" w:hAnsi="Calibri"/>
          <w:b/>
        </w:rPr>
        <w:t>W przypadku składania oferty wspólnej przez kilku przedsiębiorców</w:t>
      </w:r>
      <w:r w:rsidRPr="008768C4">
        <w:rPr>
          <w:rFonts w:ascii="Calibri" w:hAnsi="Calibri"/>
        </w:rPr>
        <w:t xml:space="preserve"> (tzw. konsorcjum) </w:t>
      </w:r>
      <w:r w:rsidRPr="008768C4">
        <w:rPr>
          <w:rFonts w:ascii="Calibri" w:hAnsi="Calibri"/>
          <w:b/>
        </w:rPr>
        <w:t>lub przez spółkę cywilną</w:t>
      </w:r>
      <w:r w:rsidRPr="008768C4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8768C4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8768C4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8768C4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8768C4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jestem(</w:t>
      </w:r>
      <w:proofErr w:type="spellStart"/>
      <w:r w:rsidRPr="008768C4">
        <w:rPr>
          <w:rFonts w:ascii="Calibri" w:hAnsi="Calibri"/>
          <w:sz w:val="22"/>
          <w:szCs w:val="22"/>
        </w:rPr>
        <w:t>śmy</w:t>
      </w:r>
      <w:proofErr w:type="spellEnd"/>
      <w:r w:rsidRPr="008768C4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8768C4">
        <w:rPr>
          <w:rFonts w:ascii="Calibri" w:hAnsi="Calibri"/>
          <w:sz w:val="22"/>
          <w:szCs w:val="22"/>
        </w:rPr>
        <w:t>SWZ oraz w miejscu</w:t>
      </w:r>
      <w:r w:rsidRPr="008768C4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8768C4">
        <w:rPr>
          <w:rFonts w:ascii="Calibri" w:hAnsi="Calibri" w:cs="Arial"/>
          <w:sz w:val="22"/>
          <w:szCs w:val="22"/>
          <w:vertAlign w:val="superscript"/>
        </w:rPr>
        <w:t>1)</w:t>
      </w:r>
      <w:r w:rsidRPr="008768C4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8768C4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8768C4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8768C4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768C4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8768C4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Pr="008768C4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8768C4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Pr="008768C4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1ECB5826" w:rsidR="00E736A2" w:rsidRPr="008768C4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Informuję(</w:t>
      </w:r>
      <w:proofErr w:type="spellStart"/>
      <w:r w:rsidRPr="008768C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768C4">
        <w:rPr>
          <w:rFonts w:asciiTheme="minorHAnsi" w:hAnsiTheme="minorHAnsi" w:cstheme="minorHAnsi"/>
          <w:sz w:val="22"/>
          <w:szCs w:val="22"/>
        </w:rPr>
        <w:t xml:space="preserve">), że umocowanie do podpisania oferty/ do podpisania innych oświadczeń lub dokumentów składanych wraz z ofertą wynika z dokumentu, który Zamawiający może pobrać  z bezpłatnej i ogólnodostępnej bazy danych, tj. ...................................................................... </w:t>
      </w:r>
    </w:p>
    <w:p w14:paraId="126A3E2E" w14:textId="55DCE1AE" w:rsidR="00E736A2" w:rsidRPr="008768C4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8768C4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8768C4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8768C4">
        <w:rPr>
          <w:rFonts w:asciiTheme="minorHAnsi" w:hAnsiTheme="minorHAnsi" w:cstheme="minorHAnsi"/>
          <w:sz w:val="22"/>
          <w:szCs w:val="22"/>
        </w:rPr>
        <w:t>niniejszą składam/y na …………… kolejno ponumerowanych stronach, oraz dołączam</w:t>
      </w:r>
      <w:r w:rsidR="00670209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y</w:t>
      </w:r>
      <w:r w:rsidR="00670209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8768C4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8768C4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1)</w:t>
      </w:r>
      <w:r w:rsidR="000D7647"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670209" w:rsidRPr="0087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8768C4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8768C4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8768C4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Pr="008768C4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2E5E36F8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6F6F85E8" w14:textId="77777777" w:rsidR="00040FE7" w:rsidRDefault="00040FE7" w:rsidP="00040FE7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4710FDE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Pr="008768C4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podpisem zaufanym lub podpisem osobistym</w:t>
      </w:r>
    </w:p>
    <w:sectPr w:rsidR="000D7647" w:rsidRPr="008768C4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84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40FE7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1782B"/>
    <w:rsid w:val="00122004"/>
    <w:rsid w:val="00131485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B1BFF"/>
    <w:rsid w:val="002B4AB8"/>
    <w:rsid w:val="002C6B6A"/>
    <w:rsid w:val="002E5D81"/>
    <w:rsid w:val="00311048"/>
    <w:rsid w:val="003157FB"/>
    <w:rsid w:val="003207C7"/>
    <w:rsid w:val="0033568F"/>
    <w:rsid w:val="0035610D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7C374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768C4"/>
    <w:rsid w:val="008810C2"/>
    <w:rsid w:val="00881A68"/>
    <w:rsid w:val="008824A2"/>
    <w:rsid w:val="00883974"/>
    <w:rsid w:val="008849C9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C7570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22C"/>
    <w:rsid w:val="00CA4B79"/>
    <w:rsid w:val="00CB30D1"/>
    <w:rsid w:val="00CB6312"/>
    <w:rsid w:val="00CC6451"/>
    <w:rsid w:val="00CD0778"/>
    <w:rsid w:val="00CD0CAB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3A53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536F8"/>
    <w:rsid w:val="00E6053C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B4B8B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1738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040"/>
    <w:rsid w:val="00FB024E"/>
    <w:rsid w:val="00FB250E"/>
    <w:rsid w:val="00FC0456"/>
    <w:rsid w:val="00FD3C6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4514-7D66-4ADC-A2DB-A82A778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10</cp:revision>
  <cp:lastPrinted>2023-02-15T14:00:00Z</cp:lastPrinted>
  <dcterms:created xsi:type="dcterms:W3CDTF">2022-10-11T08:45:00Z</dcterms:created>
  <dcterms:modified xsi:type="dcterms:W3CDTF">2023-02-16T13:55:00Z</dcterms:modified>
</cp:coreProperties>
</file>